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CF" w:rsidRPr="005176CF" w:rsidRDefault="005176CF" w:rsidP="0051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621"/>
        <w:gridCol w:w="1531"/>
        <w:gridCol w:w="1161"/>
      </w:tblGrid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76CF">
              <w:rPr>
                <w:rFonts w:ascii="Arial" w:hAnsi="Arial" w:cs="Arial"/>
                <w:b/>
                <w:bCs/>
                <w:color w:val="010205"/>
              </w:rPr>
              <w:t>Estadísticos descriptivos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Media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Desv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. Desviación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 de análisis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1,24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,799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,877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2254</w:t>
            </w:r>
          </w:p>
        </w:tc>
      </w:tr>
    </w:tbl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3077"/>
        <w:gridCol w:w="882"/>
        <w:gridCol w:w="2278"/>
        <w:gridCol w:w="1500"/>
        <w:gridCol w:w="1962"/>
        <w:gridCol w:w="3093"/>
        <w:gridCol w:w="1635"/>
        <w:gridCol w:w="1686"/>
        <w:gridCol w:w="2019"/>
        <w:gridCol w:w="1661"/>
        <w:gridCol w:w="1027"/>
        <w:gridCol w:w="2314"/>
        <w:gridCol w:w="1770"/>
      </w:tblGrid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76CF">
              <w:rPr>
                <w:rFonts w:ascii="Arial" w:hAnsi="Arial" w:cs="Arial"/>
                <w:b/>
                <w:bCs/>
                <w:color w:val="010205"/>
              </w:rPr>
              <w:t xml:space="preserve">Matriz de </w:t>
            </w:r>
            <w:proofErr w:type="spellStart"/>
            <w:r w:rsidRPr="005176CF">
              <w:rPr>
                <w:rFonts w:ascii="Arial" w:hAnsi="Arial" w:cs="Arial"/>
                <w:b/>
                <w:bCs/>
                <w:color w:val="010205"/>
              </w:rPr>
              <w:t>correlaciones</w:t>
            </w:r>
            <w:r w:rsidRPr="005176C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4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28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37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59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31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32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32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19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34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Correlación</w:t>
            </w:r>
          </w:p>
        </w:tc>
        <w:tc>
          <w:tcPr>
            <w:tcW w:w="59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17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4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,398</w:t>
            </w:r>
          </w:p>
        </w:tc>
        <w:tc>
          <w:tcPr>
            <w:tcW w:w="28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37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59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-,073</w:t>
            </w:r>
          </w:p>
        </w:tc>
        <w:tc>
          <w:tcPr>
            <w:tcW w:w="31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32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-,022</w:t>
            </w:r>
          </w:p>
        </w:tc>
        <w:tc>
          <w:tcPr>
            <w:tcW w:w="38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32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19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34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,076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,398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,136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,106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,208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,439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,344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-,021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,152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,136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,208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,195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,261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,109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,188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,127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-,073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,439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,195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,089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-,031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,136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,265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,193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,454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-,030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-,022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,344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,261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,454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-,070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,453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,141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,109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,089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,170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-,021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-,031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-,030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-,070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-,045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,143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,136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,188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,265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,453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-,045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,207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  <w:tc>
          <w:tcPr>
            <w:tcW w:w="17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,076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,106</w:t>
            </w:r>
          </w:p>
        </w:tc>
        <w:tc>
          <w:tcPr>
            <w:tcW w:w="28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,152</w:t>
            </w:r>
          </w:p>
        </w:tc>
        <w:tc>
          <w:tcPr>
            <w:tcW w:w="37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,127</w:t>
            </w:r>
          </w:p>
        </w:tc>
        <w:tc>
          <w:tcPr>
            <w:tcW w:w="59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,193</w:t>
            </w:r>
          </w:p>
        </w:tc>
        <w:tc>
          <w:tcPr>
            <w:tcW w:w="31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32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,141</w:t>
            </w:r>
          </w:p>
        </w:tc>
        <w:tc>
          <w:tcPr>
            <w:tcW w:w="38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,170</w:t>
            </w:r>
          </w:p>
        </w:tc>
        <w:tc>
          <w:tcPr>
            <w:tcW w:w="32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,143</w:t>
            </w:r>
          </w:p>
        </w:tc>
        <w:tc>
          <w:tcPr>
            <w:tcW w:w="19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,207</w:t>
            </w:r>
          </w:p>
        </w:tc>
        <w:tc>
          <w:tcPr>
            <w:tcW w:w="34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a. Determinante = ,148</w:t>
            </w:r>
          </w:p>
        </w:tc>
      </w:tr>
    </w:tbl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1795"/>
        <w:gridCol w:w="871"/>
      </w:tblGrid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76CF">
              <w:rPr>
                <w:rFonts w:ascii="Arial" w:hAnsi="Arial" w:cs="Arial"/>
                <w:b/>
                <w:bCs/>
                <w:color w:val="010205"/>
              </w:rPr>
              <w:lastRenderedPageBreak/>
              <w:t>Prueba de KMO y Bartlett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Medida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Kaiser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-Meyer-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Olkin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de adecuación de muestreo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,757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Prueba de esfericidad de Bartlett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Aprox. Chi-cuadrado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4300,664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2997"/>
        <w:gridCol w:w="881"/>
        <w:gridCol w:w="2229"/>
        <w:gridCol w:w="1467"/>
        <w:gridCol w:w="1915"/>
        <w:gridCol w:w="3017"/>
        <w:gridCol w:w="1600"/>
        <w:gridCol w:w="1659"/>
        <w:gridCol w:w="1984"/>
        <w:gridCol w:w="1640"/>
        <w:gridCol w:w="1018"/>
        <w:gridCol w:w="2257"/>
        <w:gridCol w:w="1733"/>
      </w:tblGrid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76CF">
              <w:rPr>
                <w:rFonts w:ascii="Arial" w:hAnsi="Arial" w:cs="Arial"/>
                <w:b/>
                <w:bCs/>
                <w:color w:val="010205"/>
              </w:rPr>
              <w:t>Matrices anti-imagen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Covarianza anti-imagen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,759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-,273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-,032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-,202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-,012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-,026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,888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-,158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-,085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,862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Correlación anti-imagen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,612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-,348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-,348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,648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-,045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,836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-,015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,875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-,302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-,079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-,302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,788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,780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-,327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,654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-,109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,647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-,095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,726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-,181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-,327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,774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  <w:r w:rsidRPr="005176C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a. Medidas de adecuación de muestreo (MSA)</w:t>
            </w:r>
          </w:p>
        </w:tc>
      </w:tr>
    </w:tbl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591"/>
        <w:gridCol w:w="971"/>
      </w:tblGrid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176CF">
              <w:rPr>
                <w:rFonts w:ascii="Arial" w:hAnsi="Arial" w:cs="Arial"/>
                <w:b/>
                <w:bCs/>
                <w:color w:val="010205"/>
              </w:rPr>
              <w:t>Comunalidades</w:t>
            </w:r>
            <w:proofErr w:type="spellEnd"/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Inicial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Extracción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,672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,662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,483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,546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,618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,703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,601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,698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Método de extracción: análisis de componentes principales.</w:t>
            </w:r>
          </w:p>
        </w:tc>
      </w:tr>
    </w:tbl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581"/>
        <w:gridCol w:w="1281"/>
        <w:gridCol w:w="1231"/>
        <w:gridCol w:w="733"/>
        <w:gridCol w:w="1587"/>
        <w:gridCol w:w="1513"/>
      </w:tblGrid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76CF">
              <w:rPr>
                <w:rFonts w:ascii="Arial" w:hAnsi="Arial" w:cs="Arial"/>
                <w:b/>
                <w:bCs/>
                <w:color w:val="010205"/>
              </w:rPr>
              <w:t>Varianza total explicada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Componente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Autovalores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iniciales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Sumas de cargas al cuadrado de la extracción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% de varianza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% acumulado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% de varianza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% acumulado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2,871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23,921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23,921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2,871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23,921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23,921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1,856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15,467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39,388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1,856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15,467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39,388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9,145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48,533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9,145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48,533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8,617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57,150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1,034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8,617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57,150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,867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7,221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64,371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6,558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70,928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6,092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77,020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5,504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82,524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4,845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87,369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4,524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91,893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4,384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96,278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3,722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Método de extracción: análisis de componentes principales.</w:t>
            </w:r>
          </w:p>
        </w:tc>
      </w:tr>
    </w:tbl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C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972175" cy="3514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CF" w:rsidRPr="005176CF" w:rsidRDefault="005176CF" w:rsidP="0051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81"/>
        <w:gridCol w:w="551"/>
        <w:gridCol w:w="551"/>
        <w:gridCol w:w="541"/>
      </w:tblGrid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176CF">
              <w:rPr>
                <w:rFonts w:ascii="Arial" w:hAnsi="Arial" w:cs="Arial"/>
                <w:b/>
                <w:bCs/>
                <w:color w:val="010205"/>
              </w:rPr>
              <w:t xml:space="preserve">Matriz de </w:t>
            </w:r>
            <w:proofErr w:type="spellStart"/>
            <w:r w:rsidRPr="005176CF">
              <w:rPr>
                <w:rFonts w:ascii="Arial" w:hAnsi="Arial" w:cs="Arial"/>
                <w:b/>
                <w:bCs/>
                <w:color w:val="010205"/>
              </w:rPr>
              <w:t>componente</w:t>
            </w:r>
            <w:r w:rsidRPr="005176C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Componente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Quererse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,715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-,191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,340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una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relaci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sexual satisfactoria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Ser del mismo nivel social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gustos e intereses comunes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-,027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Que ambos tengan unos ingresos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econ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micos</w:t>
            </w:r>
            <w:proofErr w:type="spellEnd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 parecidos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-,227</w:t>
            </w:r>
          </w:p>
        </w:tc>
        <w:bookmarkStart w:id="0" w:name="_GoBack"/>
        <w:bookmarkEnd w:id="0"/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el mismo nivel cultural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-,088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Tener la misma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ideolog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 xml:space="preserve">Compartir las tareas </w:t>
            </w:r>
            <w:proofErr w:type="spellStart"/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dom</w:t>
            </w:r>
            <w:r w:rsidRPr="005176CF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sticas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-,641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Respetarse mutuamente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,061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,721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-,277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hijos/as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,319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Compartir las mismas creencias religiosas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,617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,214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264A60"/>
                <w:sz w:val="18"/>
                <w:szCs w:val="18"/>
              </w:rPr>
              <w:t>Tener una vivienda adecuada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,422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,251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,526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-,133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Método de extracción: análisis de componentes principales.</w:t>
            </w:r>
          </w:p>
        </w:tc>
      </w:tr>
      <w:tr w:rsidR="005176CF" w:rsidRPr="005176CF" w:rsidTr="00517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6CF" w:rsidRPr="005176CF" w:rsidRDefault="005176CF" w:rsidP="005176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76CF">
              <w:rPr>
                <w:rFonts w:ascii="Arial" w:hAnsi="Arial" w:cs="Arial"/>
                <w:color w:val="010205"/>
                <w:sz w:val="18"/>
                <w:szCs w:val="18"/>
              </w:rPr>
              <w:t>a. 4 componentes extraídos.</w:t>
            </w:r>
          </w:p>
        </w:tc>
      </w:tr>
    </w:tbl>
    <w:p w:rsidR="005176CF" w:rsidRPr="005176CF" w:rsidRDefault="005176CF" w:rsidP="005176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2608" w:rsidRDefault="00312608"/>
    <w:sectPr w:rsidR="00312608" w:rsidSect="00F34CE0">
      <w:pgSz w:w="2878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CF"/>
    <w:rsid w:val="00312608"/>
    <w:rsid w:val="005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AF09-25A2-4F2F-A3F8-F9FFC53E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ARIZTIMUÑO</dc:creator>
  <cp:keywords/>
  <dc:description/>
  <cp:lastModifiedBy>NURA ARIZTIMUÑO</cp:lastModifiedBy>
  <cp:revision>1</cp:revision>
  <dcterms:created xsi:type="dcterms:W3CDTF">2019-04-02T09:40:00Z</dcterms:created>
  <dcterms:modified xsi:type="dcterms:W3CDTF">2019-04-02T09:42:00Z</dcterms:modified>
</cp:coreProperties>
</file>