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FC" w:rsidRDefault="002517A9" w:rsidP="004E68FC">
      <w:pPr>
        <w:pStyle w:val="Titulua"/>
      </w:pPr>
      <w:r>
        <w:t xml:space="preserve">17. </w:t>
      </w:r>
      <w:r w:rsidR="00392E44">
        <w:t xml:space="preserve">Gaia: </w:t>
      </w:r>
      <w:r w:rsidR="004E68FC">
        <w:t>Premiamendu prozedura</w:t>
      </w:r>
    </w:p>
    <w:p w:rsidR="001545B3" w:rsidRPr="001545B3" w:rsidRDefault="004E68FC" w:rsidP="001545B3">
      <w:pPr>
        <w:pStyle w:val="1izenburua"/>
      </w:pPr>
      <w:r>
        <w:t xml:space="preserve">Sarrera </w:t>
      </w:r>
    </w:p>
    <w:p w:rsidR="004E68FC" w:rsidRDefault="004E68FC" w:rsidP="004E68FC">
      <w:r>
        <w:t xml:space="preserve">Zorra, borondatezko epealdian (bi kasu bereizi behar dira, izan ere, exekuzio-aldia hasten da (TLOren 161. art.): (1) Administrazioak likidatutako zorrak direnean, araudian haiek ordaintzeko jasota dagoen epea amaitu ondorengo egunean; (2) Diru-sarrera egin gabe aurkeztutako autolikidazioaren bidez ordaindu beharreko zorrak direnean, tributu bakoitzaren araudian ordaintzeko ezarritako epea amaitu ondorengo egunean edo, hura bukatu bazen, autolikidazioa aurkeztu ondorengo egunean) ez denean ordaintzen, exekuzio-aldia hasten da. Borondatezko epealdia bukatuta, ordaindu gabe, zuzenean exekuzio-aldia hasten da. Aldiz, premiamendu-prozedura ez da modu automatikoan irekitzen; Administrazioak administrazio-egintza bat eman behar du: </w:t>
      </w:r>
      <w:r w:rsidR="007227A8">
        <w:t>premiamendu probidentzia</w:t>
      </w:r>
      <w:r>
        <w:t xml:space="preserve">; hau da exekuziozko titulua eta jakinarazten denean subjektuari </w:t>
      </w:r>
      <w:r w:rsidR="007227A8">
        <w:t>premiamendu prozedura</w:t>
      </w:r>
      <w:r>
        <w:t xml:space="preserve"> hasten da.  </w:t>
      </w:r>
    </w:p>
    <w:p w:rsidR="004E68FC" w:rsidRDefault="004E68FC" w:rsidP="004E68FC">
      <w:r>
        <w:t xml:space="preserve">Premiamendu-probidentziaren helburua subjektuaren zorrak kobratzea da, bere ondarea exekutatuz. Esan bezala, premiamendu-prozedura premiamendu-probidentzia jakinarazita hasten da, eta subjektuak ordaindu gabe jarraitzen badu, bere gauzak enbargatzen dira eta azkenean besterenganatu (normalean, enkantean). </w:t>
      </w:r>
    </w:p>
    <w:p w:rsidR="004E68FC" w:rsidRDefault="004E68FC" w:rsidP="001545B3">
      <w:pPr>
        <w:pStyle w:val="1izenburua"/>
      </w:pPr>
      <w:r>
        <w:t xml:space="preserve">Premiamendu-prozeduraren izaera </w:t>
      </w:r>
    </w:p>
    <w:p w:rsidR="004E68FC" w:rsidRDefault="004E68FC" w:rsidP="004E68FC">
      <w:r>
        <w:t xml:space="preserve">Administrazioaren </w:t>
      </w:r>
      <w:r w:rsidR="007227A8">
        <w:t>auto babesaren</w:t>
      </w:r>
      <w:r>
        <w:t xml:space="preserve"> adierazpena da, berak adierazten ditu bere eskubideak eta berak exekutatu. Hiru ezaugarri nagusi ditu: </w:t>
      </w:r>
    </w:p>
    <w:p w:rsidR="004E68FC" w:rsidRDefault="004E68FC" w:rsidP="004E68FC">
      <w:r>
        <w:t>(1)</w:t>
      </w:r>
      <w:r>
        <w:tab/>
        <w:t xml:space="preserve">Administrazio-prozedura da. Tributu Administrazioak, berak bakarrik, garatzen du. Ofizioz hasi eta garatzen da. </w:t>
      </w:r>
    </w:p>
    <w:p w:rsidR="004E68FC" w:rsidRDefault="004E68FC" w:rsidP="004E68FC">
      <w:r>
        <w:t>(2)</w:t>
      </w:r>
      <w:r>
        <w:tab/>
        <w:t xml:space="preserve">Exekuzio-izaera du. Horrengatik, zorrik badagoen edota bere zenbatekoa ezin dira eztabaidatu (bazter batera utziz ordaindu zela edo iraungi zela). Oposaketa arrazoiak mugatuak dira: prozedura gaizki hasi edo garatu zela. </w:t>
      </w:r>
    </w:p>
    <w:p w:rsidR="004E68FC" w:rsidRDefault="004E68FC" w:rsidP="004E68FC">
      <w:r>
        <w:t>(3)</w:t>
      </w:r>
      <w:r>
        <w:tab/>
        <w:t xml:space="preserve">Prozedura autonomoa da: judiziozko prozedurekin edo bertze </w:t>
      </w:r>
      <w:r w:rsidR="007227A8">
        <w:t>exekuzio prozedurekin</w:t>
      </w:r>
      <w:r>
        <w:t xml:space="preserve"> ezin da metatu. </w:t>
      </w:r>
    </w:p>
    <w:p w:rsidR="004E68FC" w:rsidRDefault="004E68FC" w:rsidP="001545B3">
      <w:pPr>
        <w:pStyle w:val="1izenburua"/>
      </w:pPr>
      <w:r>
        <w:t xml:space="preserve">Administrazioaren ahalmenak </w:t>
      </w:r>
    </w:p>
    <w:p w:rsidR="004E68FC" w:rsidRDefault="004E68FC" w:rsidP="004E68FC">
      <w:r>
        <w:t xml:space="preserve">Administrazioak, zorrak kobratzeko, subjektuaren ondarea exekutatu behar du, eta, horretarako, Bilketa Administrazioak ikuskatzaileen ahalmen berdintsuak ditu. TLOren 162. artikuluak 142. artikuluko ahalmenak izango dituela dio (azken artikulu hau ikuskapenaren atalean dago). Beraz, ahalmenak dira: </w:t>
      </w:r>
    </w:p>
    <w:p w:rsidR="004E68FC" w:rsidRDefault="004E68FC" w:rsidP="004E68FC">
      <w:r>
        <w:t>(1)</w:t>
      </w:r>
      <w:r>
        <w:tab/>
        <w:t xml:space="preserve">Tributu-betebeharpekoen gauzak egiaztatu eta ikertu, ikuskatzaileek bezala (adib., liburuak aztertu, agintaritza agenteak dira,…). </w:t>
      </w:r>
    </w:p>
    <w:p w:rsidR="004E68FC" w:rsidRDefault="004E68FC" w:rsidP="004E68FC">
      <w:r>
        <w:t>(2)</w:t>
      </w:r>
      <w:r>
        <w:tab/>
        <w:t xml:space="preserve">Kautelazko neurriak har ditzakete, gero exekutatu behar diren gauzak eta eskubideak ez desagertzeko. </w:t>
      </w:r>
    </w:p>
    <w:p w:rsidR="004E68FC" w:rsidRDefault="004E68FC" w:rsidP="004E68FC">
      <w:r>
        <w:t>(3)</w:t>
      </w:r>
      <w:r>
        <w:tab/>
        <w:t xml:space="preserve">Tributu-betebeharpekoari eska diezaiokete bere gauzen eta eskubideen zerrenda aurkeztea. </w:t>
      </w:r>
    </w:p>
    <w:p w:rsidR="004E68FC" w:rsidRDefault="004E68FC" w:rsidP="004E68FC">
      <w:r>
        <w:t>(4)</w:t>
      </w:r>
      <w:r>
        <w:tab/>
        <w:t xml:space="preserve">Tributu-betebeharpekoak bete ez zituen errekerimenduak exekuta ditzake. </w:t>
      </w:r>
    </w:p>
    <w:p w:rsidR="004E68FC" w:rsidRDefault="004E68FC" w:rsidP="001545B3">
      <w:pPr>
        <w:pStyle w:val="1izenburua"/>
      </w:pPr>
      <w:r>
        <w:lastRenderedPageBreak/>
        <w:t xml:space="preserve">Prozedura ezberdinak </w:t>
      </w:r>
    </w:p>
    <w:p w:rsidR="004E68FC" w:rsidRDefault="004E68FC" w:rsidP="004E68FC">
      <w:r>
        <w:t xml:space="preserve">Premiamendu-prozedura autonomoa da, bertze exekuzio-prozedurekin ezin da metatu, baina posible da Administrazio Publikoak, premiamendu-prozedura eramaterakoan, bertze exekuzio prozedurak izatea, singularrak edo unibertsalak, judiziozkoak edota ez. Kasu honetan jakin behar da prozedura bakoitzean egindako enbargoen artean, zeinek duen lehentasuna (exekuzio singularrak) edota zer espedienteak duen lehentasuna (unibertsalak). TLOren 164.1 artikuluan  prozedura singularren eta unibertsalen artean bereizten da: lehendabiziko kasuan, enbargoaren antzinakotasuna kontuan hartzen da: premiamendu-prozeduraren enbargo-eginbidea lehenagotik egin bazen, lehentasuna du, eta alderantziz. Konkurtso egoeran, antzinakotasuna ere kontuan hartzen da; baina, konkurtso egoera aitortu zen unea. </w:t>
      </w:r>
      <w:r w:rsidR="00FD1B4C">
        <w:t>Enbargo eginbidea</w:t>
      </w:r>
      <w:r>
        <w:t xml:space="preserve"> une hori baino lehen egin bazen, Administrazioaren exekuzioak lehentasuna izango du. </w:t>
      </w:r>
    </w:p>
    <w:p w:rsidR="004E68FC" w:rsidRDefault="004E68FC" w:rsidP="001545B3">
      <w:pPr>
        <w:pStyle w:val="1izenburua"/>
      </w:pPr>
      <w:r>
        <w:t xml:space="preserve">Prozedura etetea eta hirugarrengotzak </w:t>
      </w:r>
    </w:p>
    <w:p w:rsidR="004E68FC" w:rsidRDefault="004E68FC" w:rsidP="004E68FC">
      <w:r>
        <w:t xml:space="preserve">Premiamendu-prozedura hiru kasutan eteten da (TLOren 165. art.): helegitea jarri eta etendura lortzean; prozeduran akatsak daudenean eta jabetza hirugarrengotza aurkezten denean. Helegitea jartzean eta bermea eskaini normalean prozeduraren etetea lor daiteke. Bestalde, etetea modu automatikoan eta bermerik gabe lortzen da zorra zehazterakoan errakuntza materiala gertatu zenean, edota zorra iraungita bazegoen (adib., ordainketa egin zelako, preskripzioa gertatu,...) edota gerorapena lortu bazen; premiamenduak ez dauka zentzurik eta horrela adierazi behar da. </w:t>
      </w:r>
    </w:p>
    <w:p w:rsidR="004E68FC" w:rsidRDefault="004E68FC" w:rsidP="004E68FC">
      <w:r>
        <w:t xml:space="preserve">Zorra zehazterakoan errakuntza materiala gertatu bazen, organu eskudunak likidazioa zuzendu behar du.  </w:t>
      </w:r>
    </w:p>
    <w:p w:rsidR="004E68FC" w:rsidRDefault="004E68FC" w:rsidP="004E68FC">
      <w:r>
        <w:t xml:space="preserve">Hirugarrengotza gertatzen da, premiamendu-prozeduran enbargatutako gauzaren aurka hirugarren batek bere nahia agertzen badu. Hirugarrengotza jabetzarena edo eskubidearena izan daiteke. Lehendabiziko kasua gertatzen da hirugarrenak ulertzen badu enbargatutako gauza berea dela eta eskubidearena, aldiz, bere kredituak lehentasuna duela Ogasun Publikoaren gain  (adib., soldaten kasuan) (TLOren 165.3 art.). Hirugarrengotza jabetzarena bada, eskatutako gauzaren gain premiamendu prozedura eteten da (TLOren 165.4 art.). Inskribatutako gauza bada, onartzeko Erregistroaren ziurtagiria aurkeztu behar da, frogatuz inskripzioa Ogasun Publikoak egindako idatzoharra baino lehen egina dela. Horrela bada, enbargoa altxatzen da. Eskubidearen ingurukoa bada, prozedura ez da eteten, gauza saldu arte jarraitzen du; lortutako dirua gordailuan uzten da, hirugarrengotza erabaki arte. </w:t>
      </w:r>
    </w:p>
    <w:p w:rsidR="004E68FC" w:rsidRDefault="004E68FC" w:rsidP="001545B3">
      <w:pPr>
        <w:pStyle w:val="1izenburua"/>
      </w:pPr>
      <w:r>
        <w:t xml:space="preserve">Premiamendu-prozeduraren hasiera. Premiamendu-probidentzia. </w:t>
      </w:r>
    </w:p>
    <w:p w:rsidR="004E68FC" w:rsidRDefault="004E68FC" w:rsidP="004E68FC">
      <w:r>
        <w:t xml:space="preserve">Premiamendu-errekargua. Ordainketa egiteko epea </w:t>
      </w:r>
    </w:p>
    <w:p w:rsidR="004E68FC" w:rsidRDefault="004E68FC" w:rsidP="004E68FC">
      <w:r>
        <w:t xml:space="preserve">Aipatu bezala, premiamendu-prozedura hasten da premiamendu-probidentzia jakinaraztean. Hau administrazio-egintza bat da eta bertan  ordainketa eskatzen da, probidentzian emandako epean ez bada ordaintzen, ondarearen exekuzioa egingo dela ohartuz. Subjektuarentzat ohar bat da, azken aukera ematen zaio ordainketa egiteko. TLOren 167.2 artikuluaren arabera, titulu nahikoa da premiamendu-prozedura hasteko eta tributu-betebeharpekoen gauzen eta eskubideen aurka egiteko, epai judizialaren exekuziozko indar bera dauka. </w:t>
      </w:r>
    </w:p>
    <w:p w:rsidR="004E68FC" w:rsidRDefault="004E68FC" w:rsidP="004E68FC">
      <w:r>
        <w:lastRenderedPageBreak/>
        <w:t xml:space="preserve">Lehen, exekuziozko titulua agerian uzten zuen ziurtagiria zen.  Administrazioak egiten zuen eta tributuaren bilketa egiten zuenari eman eta hau exekuzioko fasea egiteaz arduratzen zen. Bilketa egiten zutenak Administrazioaren barruan ez ziren sartzen, profesionalak ziren. Gero, Administrazioa bera hasi zen zuzenean exekuzioa egiten eta ziurtagiriaren lekua premiamendu-probidentziak hartu zuen. </w:t>
      </w:r>
    </w:p>
    <w:p w:rsidR="004E68FC" w:rsidRDefault="004E68FC" w:rsidP="004E68FC">
      <w:r>
        <w:t xml:space="preserve">Premiamendu-probidentziaren edukia da (Bilketa Erregelamendu Orokorraren 70. art.): </w:t>
      </w:r>
    </w:p>
    <w:p w:rsidR="004E68FC" w:rsidRDefault="004E68FC" w:rsidP="004E68FC">
      <w:r>
        <w:t>(1)</w:t>
      </w:r>
      <w:r>
        <w:tab/>
        <w:t xml:space="preserve">Subjektuaren identifikazioa. </w:t>
      </w:r>
    </w:p>
    <w:p w:rsidR="004E68FC" w:rsidRDefault="004E68FC" w:rsidP="004E68FC">
      <w:r>
        <w:t>(2)</w:t>
      </w:r>
      <w:r>
        <w:tab/>
        <w:t xml:space="preserve">Zorraren kontzeptua, zenbatekoa eta epealdia. </w:t>
      </w:r>
    </w:p>
    <w:p w:rsidR="004E68FC" w:rsidRDefault="004E68FC" w:rsidP="004E68FC">
      <w:r>
        <w:t>(3)</w:t>
      </w:r>
      <w:r>
        <w:tab/>
        <w:t xml:space="preserve">Adierazpena, borondatezko epealdian zorra ez zela ordaindu eta </w:t>
      </w:r>
      <w:r w:rsidR="007227A8">
        <w:t>berandutza korrituak</w:t>
      </w:r>
      <w:r>
        <w:t xml:space="preserve"> noiztik hasten diren zenbatzen.  </w:t>
      </w:r>
    </w:p>
    <w:p w:rsidR="004E68FC" w:rsidRDefault="004E68FC" w:rsidP="004E68FC">
      <w:r>
        <w:t>(4)</w:t>
      </w:r>
      <w:r>
        <w:tab/>
        <w:t xml:space="preserve">Exekuzio-aldiaren errekarguaren likidazioa. </w:t>
      </w:r>
    </w:p>
    <w:p w:rsidR="004E68FC" w:rsidRDefault="004E68FC" w:rsidP="004E68FC">
      <w:r>
        <w:t>(5)</w:t>
      </w:r>
      <w:r>
        <w:tab/>
        <w:t xml:space="preserve">Zorra ordaintzeko errekerimendua, premiamendu-errekargu txikiarena ere: %10a. </w:t>
      </w:r>
    </w:p>
    <w:p w:rsidR="004E68FC" w:rsidRDefault="004E68FC" w:rsidP="004E68FC">
      <w:r>
        <w:t>(6)</w:t>
      </w:r>
      <w:r>
        <w:tab/>
        <w:t xml:space="preserve">Zorra gehi premiamendu-errekargu txikia emandako epean ez badira ordaintzen, bere gauzak enbargatzen hasiko direla edota bermeak exekutatzen adierazi behar da, tributu zorra gehi % 20eko errekargua kobratzeko. </w:t>
      </w:r>
    </w:p>
    <w:p w:rsidR="004E68FC" w:rsidRDefault="004E68FC" w:rsidP="004E68FC">
      <w:r>
        <w:t>(7)</w:t>
      </w:r>
      <w:r>
        <w:tab/>
        <w:t xml:space="preserve">Probidentziaren data.  </w:t>
      </w:r>
    </w:p>
    <w:p w:rsidR="00F05F17" w:rsidRDefault="004E68FC" w:rsidP="004E68FC">
      <w:r>
        <w:t xml:space="preserve">TLOren 161.4 artikuluak dio, exekuzio-aldia hasteak exekuzio-aldiaren errekarguen sortzapena suposatzen duela. TLOren 28. artikuluak errekargu ezberdinak ezartzen ditu:  </w:t>
      </w:r>
    </w:p>
    <w:p w:rsidR="004E68FC" w:rsidRDefault="004E68FC" w:rsidP="004E68FC">
      <w:r>
        <w:t xml:space="preserve">(1) % 5a, zor guztia ordaintzen bada exekuzio-aldia hasita, </w:t>
      </w:r>
      <w:r w:rsidR="007227A8">
        <w:t>premiamendu probidentzia</w:t>
      </w:r>
      <w:r>
        <w:t xml:space="preserve"> jakinarazi baino lehen. Exekuzio-aldiko errekargua da. </w:t>
      </w:r>
    </w:p>
    <w:p w:rsidR="004E68FC" w:rsidRDefault="004E68FC" w:rsidP="004E68FC">
      <w:r>
        <w:t xml:space="preserve">(2) % 10a, ordainketa, premiamendu-probidentzia jakinarazi eta gero egiten bada, zehazki, bertan emandako epean. Premiamendu-errekargu gutxitua da. Emandako epean zorra eta errekargua bera ordaindu behar dira.  </w:t>
      </w:r>
    </w:p>
    <w:p w:rsidR="004E68FC" w:rsidRDefault="00F05F17" w:rsidP="004E68FC">
      <w:r>
        <w:t>(</w:t>
      </w:r>
      <w:bookmarkStart w:id="0" w:name="_GoBack"/>
      <w:bookmarkEnd w:id="0"/>
      <w:r w:rsidR="004E68FC">
        <w:t xml:space="preserve">3) % 20a, ez bada zorra ordaintzen bi epe horietan. </w:t>
      </w:r>
    </w:p>
    <w:p w:rsidR="004E68FC" w:rsidRDefault="004E68FC" w:rsidP="004E68FC">
      <w:r>
        <w:t xml:space="preserve">Premiamendu-errekargu arrunta bateragarria da berandutza-korrituekin. Betearazpen-aldiko errekargua edo premiamendu-errekargu murriztua galdagarria gertatzen denean, exekuzio-aldia hasi denetik sortutako berandutza-korrituak ez dira eskatzen. </w:t>
      </w:r>
    </w:p>
    <w:p w:rsidR="004E68FC" w:rsidRDefault="004E68FC" w:rsidP="004E68FC">
      <w:r>
        <w:t xml:space="preserve">Ordainketa egiteko epeak bi dira (TLOren 62.5 art.): </w:t>
      </w:r>
    </w:p>
    <w:p w:rsidR="004E68FC" w:rsidRDefault="004E68FC" w:rsidP="004E68FC">
      <w:r>
        <w:t>(1)</w:t>
      </w:r>
      <w:r>
        <w:tab/>
        <w:t xml:space="preserve">Premiamendu-probidentziaren jakinarazpena hilaren lehendabiziko hamabostaldian egin bazen, jakinarazpena jaso zen unetik, hilabete beraren 20a arte. </w:t>
      </w:r>
    </w:p>
    <w:p w:rsidR="004E68FC" w:rsidRDefault="004E68FC" w:rsidP="004E68FC">
      <w:r>
        <w:t>(2)</w:t>
      </w:r>
      <w:r>
        <w:tab/>
        <w:t xml:space="preserve">Premiamendu-probidentziaren jakinarazpena bigarren hamabostaldian egin bazen, jakinarazpena jaso zen egunetik hurrengo hilaren 5a arte. </w:t>
      </w:r>
    </w:p>
    <w:p w:rsidR="004E68FC" w:rsidRDefault="004E68FC" w:rsidP="001545B3">
      <w:pPr>
        <w:pStyle w:val="1izenburua"/>
      </w:pPr>
      <w:r>
        <w:t xml:space="preserve">Premiamendu-probidentziaren aurkako oposaketa arrazoiak </w:t>
      </w:r>
    </w:p>
    <w:p w:rsidR="004E68FC" w:rsidRDefault="004E68FC" w:rsidP="004E68FC">
      <w:r>
        <w:t xml:space="preserve">Premiamendu-probidentzia exekuzio-titulua denez, oposaketa arrazoiak mugatuak dira. Likidazioaren inguruko eztabaidak ezin dira erabili. Kariak TLOren 167.3 artikuluan biltzen dira: </w:t>
      </w:r>
    </w:p>
    <w:p w:rsidR="004E68FC" w:rsidRDefault="004E68FC" w:rsidP="004E68FC">
      <w:r>
        <w:lastRenderedPageBreak/>
        <w:t>(1)</w:t>
      </w:r>
      <w:r>
        <w:tab/>
        <w:t xml:space="preserve">Zorra osorik iraungi izana, edota ordainketa eskatzeko eskubidea preskribatuta egotea. Subjektuak ordaindu zuela frogatzen badu, ez dago arrazoirik </w:t>
      </w:r>
      <w:r w:rsidR="007227A8">
        <w:t>premiamendu prozedura</w:t>
      </w:r>
      <w:r>
        <w:t xml:space="preserve"> erabiltzeko. Preskripzioaren kasuan, bakarrik oposa daiteke ordainketa eskatzearen eskubidearena; likidatzeko akzioaren preskripzioa ezin da alegatu, hau alegatu behar da likidazio fasean.  </w:t>
      </w:r>
    </w:p>
    <w:p w:rsidR="004E68FC" w:rsidRDefault="004E68FC" w:rsidP="004E68FC">
      <w:r>
        <w:t>(2)</w:t>
      </w:r>
      <w:r>
        <w:tab/>
        <w:t xml:space="preserve">Geroratzearen, zatitzearen edo konpentsazioaren eskaera egitea borondatezko epealdian; eta bilketa prozeduraren bertze etete arrazoiak. Geroratzea borondatezko epealdian eskatzeak exekuzio-aldia ezin dela hasi suposatzen du. Eskaera erabaki arte ezin da premiamendu-prozedura erabili. Konpentsazioa borondatezko epealdian eskatzen denean, zorra ezin da exekutatu subjektuak daukan kreditu zenbatekoa arte. Konpentsazioaren eskaera exekuzio-aldian egiten bada, prozedura eteten da. </w:t>
      </w:r>
    </w:p>
    <w:p w:rsidR="004E68FC" w:rsidRDefault="004E68FC" w:rsidP="004E68FC">
      <w:r>
        <w:t>(3)</w:t>
      </w:r>
      <w:r>
        <w:tab/>
        <w:t xml:space="preserve">Likidazioaren jakinarazpena ez egitea. </w:t>
      </w:r>
    </w:p>
    <w:p w:rsidR="004E68FC" w:rsidRDefault="004E68FC" w:rsidP="004E68FC">
      <w:r>
        <w:t>(4)</w:t>
      </w:r>
      <w:r>
        <w:tab/>
        <w:t xml:space="preserve">Likidazioa deuseztatu izana. </w:t>
      </w:r>
    </w:p>
    <w:p w:rsidR="004E68FC" w:rsidRDefault="004E68FC" w:rsidP="004E68FC">
      <w:r>
        <w:t>(5)</w:t>
      </w:r>
      <w:r>
        <w:tab/>
        <w:t xml:space="preserve">Premiamendu-probidentzian errakuntza edo hutsuneak agertzea, zorduna edo zorra identifikatzea galarazten badute. </w:t>
      </w:r>
    </w:p>
    <w:p w:rsidR="004E68FC" w:rsidRDefault="004E68FC" w:rsidP="001545B3">
      <w:pPr>
        <w:pStyle w:val="1izenburua"/>
      </w:pPr>
      <w:r>
        <w:t xml:space="preserve">Exekuzioaren faseak </w:t>
      </w:r>
    </w:p>
    <w:p w:rsidR="004E68FC" w:rsidRDefault="004E68FC" w:rsidP="004E68FC">
      <w:r>
        <w:t xml:space="preserve">Subjektuak, premiamendu-probidentzia jakinarazita bertan emandako epean ez badu zorra ordaintzen, eta premiamendu-probidentziaren aurkako oposaketa arrazoirik ez bada, bere ondarea exekutatzen da, legeak ezarritako hurrenkera jarraituz, eta ondokoa da: </w:t>
      </w:r>
    </w:p>
    <w:p w:rsidR="004E68FC" w:rsidRDefault="004E68FC" w:rsidP="004E68FC">
      <w:r>
        <w:t>(1)</w:t>
      </w:r>
      <w:r>
        <w:tab/>
        <w:t xml:space="preserve">Bermeak exekutatzen dira (TLOren 168. art.). Zorra bermatua bazegoen, Administrazioak premiamendu-prozeduran berme horiek exekutatzen ditu. Bermeak bi motatakoak dira: a) Ope legis ezartzen direnak (isilbidezko lege hipoteka, afekzio eskubidea eta atxikipen eskubidea); b) Subjektuak eskainitakoak (adib., geroratzea eskatu zuelako). Hala ere, bermea exekutatu baino lehen, Administrazioak bertze gauzak edo eskubideak enbarga eta besterengana ditzake, bermea zor guztia ordaintzera ez bada iristen edota subjektuak eskatzen badu.  </w:t>
      </w:r>
    </w:p>
    <w:p w:rsidR="00082132" w:rsidRDefault="004E68FC" w:rsidP="004E68FC">
      <w:r>
        <w:t>(2)</w:t>
      </w:r>
      <w:r>
        <w:tab/>
        <w:t>Gauzak eta eskubideak enbargatu (TLOren 169-171. art.). Enbargoek proportzionaltasun printzipioa errespetatu behar dute, hau da, zorra kobratzeko gain izan behar dute, ez aunitz gehiago. Kontuan hartu behar den zenbatekoa da: zorra + berandutza-k</w:t>
      </w:r>
    </w:p>
    <w:p w:rsidR="004E68FC" w:rsidRDefault="004E68FC" w:rsidP="004E68FC">
      <w:r>
        <w:t>orrituak + premiamendu-errekargua + prozeduraren kostuak. Ja</w:t>
      </w:r>
      <w:r w:rsidR="00F96572">
        <w:t>rraitu behar den hurrenkera da:</w:t>
      </w:r>
    </w:p>
    <w:p w:rsidR="004E68FC" w:rsidRDefault="004E68FC" w:rsidP="004E68FC">
      <w:r>
        <w:t>(a)</w:t>
      </w:r>
      <w:r>
        <w:tab/>
        <w:t xml:space="preserve">Eskudirua eta erakundeetan dagoen dirua. </w:t>
      </w:r>
    </w:p>
    <w:p w:rsidR="004E68FC" w:rsidRDefault="004E68FC" w:rsidP="004E68FC">
      <w:r>
        <w:t>(b)</w:t>
      </w:r>
      <w:r>
        <w:tab/>
        <w:t xml:space="preserve">Kredituak, efektuak, balioak eta eskubideak, epe motzean egikaritzen badira (sei hilabete baino gutxiago). </w:t>
      </w:r>
    </w:p>
    <w:p w:rsidR="004E68FC" w:rsidRDefault="004E68FC" w:rsidP="004E68FC">
      <w:r>
        <w:t>(c)</w:t>
      </w:r>
      <w:r>
        <w:tab/>
        <w:t xml:space="preserve">Soldatak eta pentsioak. </w:t>
      </w:r>
    </w:p>
    <w:p w:rsidR="004E68FC" w:rsidRDefault="004E68FC" w:rsidP="004E68FC">
      <w:r>
        <w:t>(d)</w:t>
      </w:r>
      <w:r>
        <w:tab/>
        <w:t xml:space="preserve">Gauza higiezinak. </w:t>
      </w:r>
    </w:p>
    <w:p w:rsidR="004E68FC" w:rsidRDefault="004E68FC" w:rsidP="004E68FC">
      <w:r>
        <w:t>(e)</w:t>
      </w:r>
      <w:r>
        <w:tab/>
        <w:t xml:space="preserve">Errentak, korrituak eta fruituak. </w:t>
      </w:r>
    </w:p>
    <w:p w:rsidR="004E68FC" w:rsidRDefault="004E68FC" w:rsidP="004E68FC">
      <w:r>
        <w:t>(f)</w:t>
      </w:r>
      <w:r>
        <w:tab/>
        <w:t xml:space="preserve">Merkataritza eta industri alorreko establezimenduak. </w:t>
      </w:r>
    </w:p>
    <w:p w:rsidR="004E68FC" w:rsidRDefault="004E68FC" w:rsidP="004E68FC">
      <w:r>
        <w:lastRenderedPageBreak/>
        <w:t>(g)</w:t>
      </w:r>
      <w:r>
        <w:tab/>
        <w:t xml:space="preserve">Bitxikeriak, zaharkinak, eta abar. </w:t>
      </w:r>
    </w:p>
    <w:p w:rsidR="004E68FC" w:rsidRDefault="004E68FC" w:rsidP="004E68FC">
      <w:r>
        <w:t>(h)</w:t>
      </w:r>
      <w:r>
        <w:tab/>
        <w:t xml:space="preserve">Gauza higigarriak eta semobienteak. </w:t>
      </w:r>
    </w:p>
    <w:p w:rsidR="004E68FC" w:rsidRDefault="004E68FC" w:rsidP="004E68FC">
      <w:r>
        <w:t>(i)</w:t>
      </w:r>
      <w:r>
        <w:tab/>
        <w:t xml:space="preserve">Kredituak, eskubideak eta balioak epe luzean egikaritzen direnean (6 hilabete baino gehiago). </w:t>
      </w:r>
    </w:p>
    <w:p w:rsidR="004E68FC" w:rsidRDefault="004E68FC" w:rsidP="004E68FC">
      <w:r>
        <w:t xml:space="preserve">Enbargoak, hurrenkera hori jarraituta egiten dira, zor guztia hartu arte. Nolanahi ere, azkenik enbargatzen dira trabatuak izateko  zergapekoak konstituzionalki babestua duen helbidean sartzea eskatzen duten ondasunak eta eskubideak, betebeharpekoak ez badu baimenik ematen, epailearen baimena behar delako. </w:t>
      </w:r>
    </w:p>
    <w:p w:rsidR="004E68FC" w:rsidRDefault="004E68FC" w:rsidP="004E68FC">
      <w:r>
        <w:t xml:space="preserve">Enbargo bakoitza dilijentzian agertu behar da eta subjektuari jakinarazten da. Enbargo-eginbidearen aurkako oposaketa arrazoiak mugatuak dira: zorra iraungi zela, premiamendu-probidentzia ez zela jakinarazi, enbargoaren araudia ez zela errespetatu eta bilketa prozedura esekita egotea. </w:t>
      </w:r>
    </w:p>
    <w:p w:rsidR="004E68FC" w:rsidRDefault="004E68FC" w:rsidP="004E68FC">
      <w:r>
        <w:t xml:space="preserve">Gauzak Erregistro Publiko batean inskribatuta badaude, bertan idatzoharra egiten da, epailearen aginduak daukan indar berarekin. </w:t>
      </w:r>
    </w:p>
    <w:p w:rsidR="004E68FC" w:rsidRDefault="004E68FC" w:rsidP="004E68FC">
      <w:r>
        <w:t xml:space="preserve">(3) Enbargatutako gauzak besterenganatzea. Legeak adierazten du besterenganatzea ez dela posible likidazioaren aurkako helegitea erabaki arte, salbu ezinbesteko kasuetan, gauzak hondagarriak badira edota euren balioa gutxitzeko arriskua badago, edota tributubetebeharpekoak espresuki eskatzen badu. Besterenganatzea egiten da enkante, konkurtso edo zuzeneko adjudikazioren bidez. Normalean enkantea erabiltzen da, eta soberakinik gelditzen bada tributu-betebeharpekoari ematen zaio. Konkurtsoa bakarrik erabiltzen da enbargatutako gauza saltzeak merkatuarentzat kaltea suposatzen badu edota interes publikoak bide hau erabiltzea eskatzen badu. Zuzeneko adjudikazioa erabiltzen da, enkantea erabilita, gauzak edo eskubideak besterenganatu gabe gelditzen badira edota gauzak hondagarriak badira edota premia badago. Azkenean, gauzak besterenganatzea ez bada lortzen, Ogasun Publikoak beregana ditzake zorraren zenbatekoaren arte, besterenganatzearen hasierako tipoaren % 75a gainditu gabe. </w:t>
      </w:r>
    </w:p>
    <w:p w:rsidR="004E68FC" w:rsidRDefault="004E68FC" w:rsidP="004E68FC">
      <w:r>
        <w:t xml:space="preserve">Besterenganatzea egin baino lehen, tributu-betebeharpekoak zorra eta kostuak ordaintzen baditu, enbargoa altxatzen da. </w:t>
      </w:r>
    </w:p>
    <w:p w:rsidR="004E68FC" w:rsidRDefault="004E68FC" w:rsidP="004E68FC">
      <w:r>
        <w:t xml:space="preserve">IX. Premiamendu-prozeduraren bukaera </w:t>
      </w:r>
    </w:p>
    <w:p w:rsidR="004E68FC" w:rsidRDefault="004E68FC" w:rsidP="004E68FC">
      <w:r>
        <w:t xml:space="preserve"> Horretarako hiru modu daude (TLOren 173. art.): </w:t>
      </w:r>
    </w:p>
    <w:p w:rsidR="004E68FC" w:rsidRDefault="004E68FC" w:rsidP="004E68FC">
      <w:r>
        <w:t>(1)</w:t>
      </w:r>
      <w:r>
        <w:tab/>
        <w:t xml:space="preserve">Zorra ordainduz; hau da, zorra, berandutza-korrituak, errekarguak eta kostuak. </w:t>
      </w:r>
    </w:p>
    <w:p w:rsidR="004E68FC" w:rsidRDefault="004E68FC" w:rsidP="004E68FC">
      <w:r>
        <w:t>(2)</w:t>
      </w:r>
      <w:r>
        <w:tab/>
        <w:t xml:space="preserve">Erabakiaren bidez, tributu-beteharpeko guztiak kaudimengabeak direla-eta, kreditua osorik edo zati batean ezin dela kobratu adierazten duenean. Kreditua kobraezina dela adierazi ondoren, baja ematen zaio behin-behinean. Preskripzio epe barruan, betebeharpekoaren egoera ekonomikoa hobetzen bada, kredituaren birdoikuntza gertatzen da. Bilketa sailak exekuzio prozedura berriz indarrean jartzen du. Preskripzio epea amaitzen bada, birdoikuntzarik gertatu gabe, zorra iraungita gelditzen da.  </w:t>
      </w:r>
    </w:p>
    <w:p w:rsidR="002005C8" w:rsidRDefault="004E68FC">
      <w:r>
        <w:t>(3)</w:t>
      </w:r>
      <w:r>
        <w:tab/>
        <w:t>Edozein bertze legezko arrazoi dela-eta, kreditua iraungi zela erabakitzea.</w:t>
      </w:r>
    </w:p>
    <w:sectPr w:rsidR="002005C8" w:rsidSect="00D96634">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56" w:rsidRDefault="009A0956" w:rsidP="00E54619">
      <w:pPr>
        <w:spacing w:after="0" w:line="240" w:lineRule="auto"/>
      </w:pPr>
      <w:r>
        <w:separator/>
      </w:r>
    </w:p>
  </w:endnote>
  <w:endnote w:type="continuationSeparator" w:id="0">
    <w:p w:rsidR="009A0956" w:rsidRDefault="009A0956" w:rsidP="00E5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56" w:rsidRDefault="009A0956" w:rsidP="00E54619">
      <w:pPr>
        <w:spacing w:after="0" w:line="240" w:lineRule="auto"/>
      </w:pPr>
      <w:r>
        <w:separator/>
      </w:r>
    </w:p>
  </w:footnote>
  <w:footnote w:type="continuationSeparator" w:id="0">
    <w:p w:rsidR="009A0956" w:rsidRDefault="009A0956" w:rsidP="00E5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19" w:rsidRPr="00E54619" w:rsidRDefault="00E54619">
    <w:pPr>
      <w:pStyle w:val="Goiburua"/>
      <w:rPr>
        <w:b/>
      </w:rPr>
    </w:pPr>
    <w:r>
      <w:rPr>
        <w:b/>
      </w:rPr>
      <w:t xml:space="preserve">Finantza Zuzenbidea I - </w:t>
    </w:r>
    <w:r w:rsidR="002517A9">
      <w:rPr>
        <w:b/>
      </w:rPr>
      <w:t>17</w:t>
    </w:r>
    <w:r>
      <w:rPr>
        <w:b/>
      </w:rPr>
      <w:t>. gaia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5CCD"/>
    <w:multiLevelType w:val="multilevel"/>
    <w:tmpl w:val="DC368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CA5641"/>
    <w:multiLevelType w:val="hybridMultilevel"/>
    <w:tmpl w:val="FC92EFA0"/>
    <w:lvl w:ilvl="0" w:tplc="5B3C871C">
      <w:start w:val="1"/>
      <w:numFmt w:val="upperRoman"/>
      <w:lvlText w:val="%1."/>
      <w:lvlJc w:val="left"/>
      <w:pPr>
        <w:ind w:left="720" w:hanging="72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 w15:restartNumberingAfterBreak="0">
    <w:nsid w:val="428F2641"/>
    <w:multiLevelType w:val="hybridMultilevel"/>
    <w:tmpl w:val="0F8CD978"/>
    <w:lvl w:ilvl="0" w:tplc="59D25218">
      <w:start w:val="2"/>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5956778B"/>
    <w:multiLevelType w:val="hybridMultilevel"/>
    <w:tmpl w:val="DB642BC4"/>
    <w:lvl w:ilvl="0" w:tplc="112651AE">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71341937"/>
    <w:multiLevelType w:val="hybridMultilevel"/>
    <w:tmpl w:val="F8905BDE"/>
    <w:lvl w:ilvl="0" w:tplc="D2685B58">
      <w:start w:val="1"/>
      <w:numFmt w:val="decimal"/>
      <w:pStyle w:val="1izenburua"/>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C"/>
    <w:rsid w:val="00004F9A"/>
    <w:rsid w:val="00082132"/>
    <w:rsid w:val="001545B3"/>
    <w:rsid w:val="001C27A7"/>
    <w:rsid w:val="002005C8"/>
    <w:rsid w:val="002517A9"/>
    <w:rsid w:val="0025361E"/>
    <w:rsid w:val="003139E1"/>
    <w:rsid w:val="00392E44"/>
    <w:rsid w:val="00461F7F"/>
    <w:rsid w:val="004E68FC"/>
    <w:rsid w:val="004F5775"/>
    <w:rsid w:val="0053532F"/>
    <w:rsid w:val="005A1BEA"/>
    <w:rsid w:val="007227A8"/>
    <w:rsid w:val="007D7CFB"/>
    <w:rsid w:val="008F40EF"/>
    <w:rsid w:val="009A0956"/>
    <w:rsid w:val="00A57677"/>
    <w:rsid w:val="00AA621A"/>
    <w:rsid w:val="00CA45BE"/>
    <w:rsid w:val="00D96634"/>
    <w:rsid w:val="00E54619"/>
    <w:rsid w:val="00E55F03"/>
    <w:rsid w:val="00EC43B2"/>
    <w:rsid w:val="00F05F17"/>
    <w:rsid w:val="00F96572"/>
    <w:rsid w:val="00FD1B4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5F6E"/>
  <w15:chartTrackingRefBased/>
  <w15:docId w15:val="{6989E6B9-E46E-48A4-A0ED-07B54632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a">
    <w:name w:val="Normal"/>
    <w:qFormat/>
    <w:rsid w:val="0053532F"/>
    <w:pPr>
      <w:spacing w:line="256" w:lineRule="auto"/>
      <w:jc w:val="both"/>
    </w:pPr>
    <w:rPr>
      <w:rFonts w:ascii="Times New Roman" w:hAnsi="Times New Roman"/>
      <w:sz w:val="24"/>
    </w:rPr>
  </w:style>
  <w:style w:type="paragraph" w:styleId="1izenburua">
    <w:name w:val="heading 1"/>
    <w:basedOn w:val="Normala"/>
    <w:next w:val="Normala"/>
    <w:link w:val="1izenburuaKar"/>
    <w:autoRedefine/>
    <w:uiPriority w:val="9"/>
    <w:qFormat/>
    <w:rsid w:val="001545B3"/>
    <w:pPr>
      <w:keepNext/>
      <w:keepLines/>
      <w:numPr>
        <w:numId w:val="5"/>
      </w:numPr>
      <w:spacing w:before="240" w:after="0"/>
      <w:outlineLvl w:val="0"/>
    </w:pPr>
    <w:rPr>
      <w:rFonts w:eastAsiaTheme="majorEastAsia" w:cstheme="majorBidi"/>
      <w:color w:val="2E74B5" w:themeColor="accent1" w:themeShade="BF"/>
      <w:sz w:val="28"/>
      <w:szCs w:val="32"/>
    </w:rPr>
  </w:style>
  <w:style w:type="paragraph" w:styleId="2izenburua">
    <w:name w:val="heading 2"/>
    <w:basedOn w:val="Normala"/>
    <w:next w:val="Normala"/>
    <w:link w:val="2izenburuaKar"/>
    <w:autoRedefine/>
    <w:uiPriority w:val="9"/>
    <w:unhideWhenUsed/>
    <w:qFormat/>
    <w:rsid w:val="00CA45BE"/>
    <w:pPr>
      <w:keepNext/>
      <w:keepLines/>
      <w:spacing w:before="40" w:after="0"/>
      <w:outlineLvl w:val="1"/>
    </w:pPr>
    <w:rPr>
      <w:rFonts w:eastAsiaTheme="majorEastAsia" w:cstheme="majorBidi"/>
      <w:color w:val="2E74B5" w:themeColor="accent1" w:themeShade="BF"/>
      <w:szCs w:val="26"/>
    </w:rPr>
  </w:style>
  <w:style w:type="paragraph" w:styleId="3izenburua">
    <w:name w:val="heading 3"/>
    <w:basedOn w:val="Normala"/>
    <w:next w:val="Normala"/>
    <w:link w:val="3izenburuaKar"/>
    <w:autoRedefine/>
    <w:uiPriority w:val="9"/>
    <w:unhideWhenUsed/>
    <w:qFormat/>
    <w:rsid w:val="00A57677"/>
    <w:pPr>
      <w:keepNext/>
      <w:keepLines/>
      <w:spacing w:before="40" w:after="0" w:line="259" w:lineRule="auto"/>
      <w:outlineLvl w:val="2"/>
    </w:pPr>
    <w:rPr>
      <w:rFonts w:eastAsiaTheme="majorEastAsia" w:cstheme="majorBidi"/>
      <w:color w:val="1F4D78" w:themeColor="accent1" w:themeShade="7F"/>
      <w:szCs w:val="24"/>
    </w:rPr>
  </w:style>
  <w:style w:type="paragraph" w:styleId="4izenburua">
    <w:name w:val="heading 4"/>
    <w:basedOn w:val="Normala"/>
    <w:next w:val="Normala"/>
    <w:link w:val="4izenburuaKar"/>
    <w:autoRedefine/>
    <w:uiPriority w:val="9"/>
    <w:semiHidden/>
    <w:unhideWhenUsed/>
    <w:qFormat/>
    <w:rsid w:val="00A57677"/>
    <w:pPr>
      <w:keepNext/>
      <w:keepLines/>
      <w:spacing w:before="40" w:after="0" w:line="259" w:lineRule="auto"/>
      <w:outlineLvl w:val="3"/>
    </w:pPr>
    <w:rPr>
      <w:rFonts w:eastAsiaTheme="majorEastAsia" w:cstheme="majorBidi"/>
      <w:i/>
      <w:iCs/>
      <w:color w:val="2E74B5" w:themeColor="accent1" w:themeShade="BF"/>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Azpititulua">
    <w:name w:val="Subtitle"/>
    <w:basedOn w:val="Normala"/>
    <w:next w:val="Normala"/>
    <w:link w:val="AzpitituluaKar"/>
    <w:uiPriority w:val="11"/>
    <w:qFormat/>
    <w:rsid w:val="00461F7F"/>
    <w:pPr>
      <w:numPr>
        <w:ilvl w:val="1"/>
      </w:numPr>
    </w:pPr>
    <w:rPr>
      <w:rFonts w:eastAsiaTheme="minorEastAsia"/>
      <w:color w:val="5A5A5A" w:themeColor="text1" w:themeTint="A5"/>
      <w:spacing w:val="15"/>
    </w:rPr>
  </w:style>
  <w:style w:type="character" w:customStyle="1" w:styleId="AzpitituluaKar">
    <w:name w:val="Azpititulua Kar"/>
    <w:basedOn w:val="Paragrafoarenletra-tipolehenetsia"/>
    <w:link w:val="Azpititulua"/>
    <w:uiPriority w:val="11"/>
    <w:rsid w:val="00461F7F"/>
    <w:rPr>
      <w:rFonts w:ascii="Times New Roman" w:eastAsiaTheme="minorEastAsia" w:hAnsi="Times New Roman"/>
      <w:color w:val="5A5A5A" w:themeColor="text1" w:themeTint="A5"/>
      <w:spacing w:val="15"/>
    </w:rPr>
  </w:style>
  <w:style w:type="paragraph" w:styleId="Titulua">
    <w:name w:val="Title"/>
    <w:basedOn w:val="Normala"/>
    <w:next w:val="Normala"/>
    <w:link w:val="TituluaKar"/>
    <w:uiPriority w:val="10"/>
    <w:qFormat/>
    <w:rsid w:val="00461F7F"/>
    <w:pPr>
      <w:spacing w:after="0" w:line="240" w:lineRule="auto"/>
      <w:contextualSpacing/>
      <w:jc w:val="center"/>
    </w:pPr>
    <w:rPr>
      <w:rFonts w:eastAsiaTheme="majorEastAsia" w:cstheme="majorBidi"/>
      <w:b/>
      <w:spacing w:val="-10"/>
      <w:kern w:val="28"/>
      <w:sz w:val="56"/>
      <w:szCs w:val="56"/>
      <w:u w:val="single"/>
    </w:rPr>
  </w:style>
  <w:style w:type="character" w:customStyle="1" w:styleId="TituluaKar">
    <w:name w:val="Titulua Kar"/>
    <w:basedOn w:val="Paragrafoarenletra-tipolehenetsia"/>
    <w:link w:val="Titulua"/>
    <w:uiPriority w:val="10"/>
    <w:rsid w:val="00461F7F"/>
    <w:rPr>
      <w:rFonts w:ascii="Times New Roman" w:eastAsiaTheme="majorEastAsia" w:hAnsi="Times New Roman" w:cstheme="majorBidi"/>
      <w:b/>
      <w:spacing w:val="-10"/>
      <w:kern w:val="28"/>
      <w:sz w:val="56"/>
      <w:szCs w:val="56"/>
      <w:u w:val="single"/>
    </w:rPr>
  </w:style>
  <w:style w:type="character" w:customStyle="1" w:styleId="2izenburuaKar">
    <w:name w:val="2. izenburua Kar"/>
    <w:basedOn w:val="Paragrafoarenletra-tipolehenetsia"/>
    <w:link w:val="2izenburua"/>
    <w:uiPriority w:val="9"/>
    <w:rsid w:val="00CA45BE"/>
    <w:rPr>
      <w:rFonts w:ascii="Times New Roman" w:eastAsiaTheme="majorEastAsia" w:hAnsi="Times New Roman" w:cstheme="majorBidi"/>
      <w:color w:val="2E74B5" w:themeColor="accent1" w:themeShade="BF"/>
      <w:sz w:val="24"/>
      <w:szCs w:val="26"/>
    </w:rPr>
  </w:style>
  <w:style w:type="character" w:customStyle="1" w:styleId="1izenburuaKar">
    <w:name w:val="1. izenburua Kar"/>
    <w:basedOn w:val="Paragrafoarenletra-tipolehenetsia"/>
    <w:link w:val="1izenburua"/>
    <w:uiPriority w:val="9"/>
    <w:rsid w:val="001545B3"/>
    <w:rPr>
      <w:rFonts w:ascii="Times New Roman" w:eastAsiaTheme="majorEastAsia" w:hAnsi="Times New Roman" w:cstheme="majorBidi"/>
      <w:color w:val="2E74B5" w:themeColor="accent1" w:themeShade="BF"/>
      <w:sz w:val="28"/>
      <w:szCs w:val="32"/>
    </w:rPr>
  </w:style>
  <w:style w:type="paragraph" w:styleId="Tarterikez">
    <w:name w:val="No Spacing"/>
    <w:uiPriority w:val="1"/>
    <w:rsid w:val="0053532F"/>
    <w:pPr>
      <w:spacing w:after="0" w:line="240" w:lineRule="auto"/>
      <w:jc w:val="both"/>
    </w:pPr>
    <w:rPr>
      <w:rFonts w:ascii="Times New Roman" w:hAnsi="Times New Roman"/>
      <w:sz w:val="24"/>
    </w:rPr>
  </w:style>
  <w:style w:type="character" w:customStyle="1" w:styleId="3izenburuaKar">
    <w:name w:val="3. izenburua Kar"/>
    <w:basedOn w:val="Paragrafoarenletra-tipolehenetsia"/>
    <w:link w:val="3izenburua"/>
    <w:uiPriority w:val="9"/>
    <w:rsid w:val="00A57677"/>
    <w:rPr>
      <w:rFonts w:ascii="Times New Roman" w:eastAsiaTheme="majorEastAsia" w:hAnsi="Times New Roman" w:cstheme="majorBidi"/>
      <w:color w:val="1F4D78" w:themeColor="accent1" w:themeShade="7F"/>
      <w:sz w:val="24"/>
      <w:szCs w:val="24"/>
    </w:rPr>
  </w:style>
  <w:style w:type="character" w:customStyle="1" w:styleId="4izenburuaKar">
    <w:name w:val="4. izenburua Kar"/>
    <w:basedOn w:val="Paragrafoarenletra-tipolehenetsia"/>
    <w:link w:val="4izenburua"/>
    <w:uiPriority w:val="9"/>
    <w:semiHidden/>
    <w:rsid w:val="00A57677"/>
    <w:rPr>
      <w:rFonts w:ascii="Times New Roman" w:eastAsiaTheme="majorEastAsia" w:hAnsi="Times New Roman" w:cstheme="majorBidi"/>
      <w:i/>
      <w:iCs/>
      <w:color w:val="2E74B5" w:themeColor="accent1" w:themeShade="BF"/>
      <w:sz w:val="24"/>
    </w:rPr>
  </w:style>
  <w:style w:type="paragraph" w:styleId="Goiburua">
    <w:name w:val="header"/>
    <w:basedOn w:val="Normala"/>
    <w:link w:val="GoiburuaKar"/>
    <w:uiPriority w:val="99"/>
    <w:unhideWhenUsed/>
    <w:rsid w:val="00E54619"/>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E54619"/>
    <w:rPr>
      <w:rFonts w:ascii="Times New Roman" w:hAnsi="Times New Roman"/>
      <w:sz w:val="24"/>
    </w:rPr>
  </w:style>
  <w:style w:type="paragraph" w:styleId="Orri-oina">
    <w:name w:val="footer"/>
    <w:basedOn w:val="Normala"/>
    <w:link w:val="Orri-oinaKar"/>
    <w:uiPriority w:val="99"/>
    <w:unhideWhenUsed/>
    <w:rsid w:val="00E54619"/>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E54619"/>
    <w:rPr>
      <w:rFonts w:ascii="Times New Roman" w:hAnsi="Times New Roman"/>
      <w:sz w:val="24"/>
    </w:rPr>
  </w:style>
  <w:style w:type="paragraph" w:styleId="Bunbuiloarentestua">
    <w:name w:val="Balloon Text"/>
    <w:basedOn w:val="Normala"/>
    <w:link w:val="BunbuiloarentestuaKar"/>
    <w:uiPriority w:val="99"/>
    <w:semiHidden/>
    <w:unhideWhenUsed/>
    <w:rsid w:val="00D96634"/>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D96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E259-EA0C-4061-BB8C-CF3C97D8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2005</Words>
  <Characters>11430</Characters>
  <Application>Microsoft Office Word</Application>
  <DocSecurity>0</DocSecurity>
  <Lines>95</Lines>
  <Paragraphs>26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Martinez Bueno</dc:creator>
  <cp:keywords/>
  <dc:description/>
  <cp:lastModifiedBy>Aritz Martinez Bueno</cp:lastModifiedBy>
  <cp:revision>18</cp:revision>
  <cp:lastPrinted>2017-05-08T11:33:00Z</cp:lastPrinted>
  <dcterms:created xsi:type="dcterms:W3CDTF">2017-04-24T10:06:00Z</dcterms:created>
  <dcterms:modified xsi:type="dcterms:W3CDTF">2017-05-08T11:33:00Z</dcterms:modified>
</cp:coreProperties>
</file>